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b6a6b10c69b7ca01eeec213cf091ff6915dd0"/>
    <w:p>
      <w:pPr>
        <w:pStyle w:val="Heading3"/>
      </w:pPr>
      <w:r>
        <w:t xml:space="preserve">Адресный перечень, утвержденный на заседании Совета депутатов муниципального округа Можайский, выборочного капитального ремонта многоквартирных жилых домов в 2015 году за счёт средств выделенных в соответствии с постановлением Правительства Москвы</w:t>
      </w:r>
    </w:p>
    <w:p>
      <w:pPr>
        <w:pStyle w:val="FirstParagraph"/>
      </w:pPr>
      <w:r>
        <w:t xml:space="preserve">22.05.2015</w:t>
      </w:r>
    </w:p>
    <w:p>
      <w:pPr>
        <w:pStyle w:val="BodyText"/>
      </w:pPr>
      <w:r>
        <w:rPr>
          <w:bCs/>
          <w:b/>
        </w:rPr>
        <w:t xml:space="preserve">Адресный перечень, утвержденный на заседании Совета депутатов муниципального округа Можайский, выборочного капитального ремонта многоквартирных жилых домов в 2015 году за счёт средств выделенных в соответствии с постановлением Правительства Москвы от 26.12.2012г.</w:t>
      </w:r>
    </w:p>
    <w:p>
      <w:pPr>
        <w:pStyle w:val="BodyText"/>
      </w:pPr>
      <w:r>
        <w:rPr>
          <w:bCs/>
          <w:b/>
        </w:rPr>
        <w:t xml:space="preserve">№849-ПП «О стимулировании управ районов г. Москвы»</w:t>
      </w:r>
    </w:p>
    <w:p>
      <w:pPr>
        <w:pStyle w:val="BodyText"/>
      </w:pPr>
      <w:r>
        <w:rPr>
          <w:bCs/>
          <w:b/>
        </w:rPr>
        <w:t xml:space="preserve">ул. Витебская д. 5 – ремонт межпанельных швов;</w:t>
      </w:r>
    </w:p>
    <w:p>
      <w:pPr>
        <w:pStyle w:val="BodyText"/>
      </w:pPr>
      <w:r>
        <w:rPr>
          <w:bCs/>
          <w:b/>
        </w:rPr>
        <w:t xml:space="preserve">ул. Беловежская д. 21 – температурно-влажностный режим, ремонт кровли.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http://mozhaisky.mos.ru/presscenter/news/detail/1886404.html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886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886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2025-02-22T06:33:09Z</dcterms:created>
  <dcterms:modified xsi:type="dcterms:W3CDTF">2025-02-22T06:33:09Z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