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30d0c785c9635c70912b1bd6e66f011bd135"/>
    <w:p>
      <w:pPr>
        <w:pStyle w:val="Heading3"/>
      </w:pPr>
      <w:r>
        <w:t xml:space="preserve">График проведения вакцинации против бешенства домашним животным на сборных прививочных пунктах в 2015 году на территории Можайского района</w:t>
      </w:r>
    </w:p>
    <w:p>
      <w:pPr>
        <w:pStyle w:val="FirstParagraph"/>
      </w:pPr>
      <w:r>
        <w:t xml:space="preserve">04.03.2015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пункта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ответственного от ДЕЗ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23.01.2015г.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</w:t>
            </w:r>
          </w:p>
          <w:p>
            <w:pPr>
              <w:jc w:val="left"/>
            </w:pPr>
            <w:r>
              <w:t xml:space="preserve">д.32</w:t>
            </w:r>
          </w:p>
        </w:tc>
        <w:tc>
          <w:tcPr/>
          <w:p>
            <w:pPr>
              <w:jc w:val="left"/>
            </w:pPr>
            <w:r>
              <w:t xml:space="preserve">Пахомова Наталья Сергеевна</w:t>
            </w:r>
          </w:p>
          <w:p>
            <w:pPr>
              <w:jc w:val="left"/>
            </w:pPr>
            <w:r>
              <w:t xml:space="preserve">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24.01.2015г.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</w:t>
            </w:r>
          </w:p>
          <w:p>
            <w:pPr>
              <w:jc w:val="left"/>
            </w:pPr>
            <w:r>
              <w:t xml:space="preserve">д.32</w:t>
            </w:r>
          </w:p>
        </w:tc>
        <w:tc>
          <w:tcPr/>
          <w:p>
            <w:pPr>
              <w:jc w:val="left"/>
            </w:pPr>
            <w:r>
              <w:t xml:space="preserve">Пахомова Наталья Сергеевна</w:t>
            </w:r>
          </w:p>
          <w:p>
            <w:pPr>
              <w:jc w:val="left"/>
            </w:pPr>
            <w:r>
              <w:t xml:space="preserve">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13.02.2015г.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Ул. Барвихинская</w:t>
            </w:r>
          </w:p>
          <w:p>
            <w:pPr>
              <w:jc w:val="left"/>
            </w:pPr>
            <w:r>
              <w:t xml:space="preserve">д. 16, корп. 1</w:t>
            </w:r>
          </w:p>
        </w:tc>
        <w:tc>
          <w:tcPr/>
          <w:p>
            <w:pPr>
              <w:jc w:val="left"/>
            </w:pPr>
            <w:r>
              <w:t xml:space="preserve">Радимушкин Андрей Михайлович</w:t>
            </w:r>
          </w:p>
          <w:p>
            <w:pPr>
              <w:jc w:val="left"/>
            </w:pPr>
            <w:r>
              <w:t xml:space="preserve">8-901-543-63-42</w:t>
            </w:r>
          </w:p>
        </w:tc>
      </w:tr>
      <w:tr>
        <w:tc>
          <w:tcPr/>
          <w:p>
            <w:pPr>
              <w:jc w:val="left"/>
            </w:pPr>
            <w:r>
              <w:t xml:space="preserve">13.03.2015г.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Ул. Гвардейская</w:t>
            </w:r>
          </w:p>
          <w:p>
            <w:pPr>
              <w:jc w:val="left"/>
            </w:pPr>
            <w:r>
              <w:t xml:space="preserve">д. 6, корп. 2</w:t>
            </w:r>
          </w:p>
        </w:tc>
        <w:tc>
          <w:tcPr/>
          <w:p>
            <w:pPr>
              <w:jc w:val="left"/>
            </w:pPr>
            <w:r>
              <w:t xml:space="preserve">Захаров Александр Евгеньевич</w:t>
            </w:r>
          </w:p>
          <w:p>
            <w:pPr>
              <w:jc w:val="left"/>
            </w:pPr>
            <w:r>
              <w:t xml:space="preserve">8-985-996-12-52</w:t>
            </w:r>
          </w:p>
        </w:tc>
      </w:tr>
      <w:tr>
        <w:tc>
          <w:tcPr/>
          <w:p>
            <w:pPr>
              <w:jc w:val="left"/>
            </w:pPr>
            <w:r>
              <w:t xml:space="preserve">17.04.2015г.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Можайское шоссе</w:t>
            </w:r>
          </w:p>
          <w:p>
            <w:pPr>
              <w:jc w:val="left"/>
            </w:pPr>
            <w:r>
              <w:t xml:space="preserve">д. 29</w:t>
            </w:r>
          </w:p>
        </w:tc>
        <w:tc>
          <w:tcPr/>
          <w:p>
            <w:pPr>
              <w:jc w:val="left"/>
            </w:pPr>
            <w:r>
              <w:t xml:space="preserve">Шакирова Алфия Иззятуллиновна</w:t>
            </w:r>
          </w:p>
          <w:p>
            <w:pPr>
              <w:jc w:val="left"/>
            </w:pPr>
            <w:r>
              <w:t xml:space="preserve">8-495-444-30-84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</w:t>
            </w:r>
          </w:p>
          <w:p>
            <w:pPr>
              <w:jc w:val="left"/>
            </w:pPr>
            <w:r>
              <w:t xml:space="preserve">д.32</w:t>
            </w:r>
          </w:p>
        </w:tc>
        <w:tc>
          <w:tcPr/>
          <w:p>
            <w:pPr>
              <w:jc w:val="left"/>
            </w:pPr>
            <w:r>
              <w:t xml:space="preserve">Пахомова Наталья Сергеевна</w:t>
            </w:r>
          </w:p>
          <w:p>
            <w:pPr>
              <w:jc w:val="left"/>
            </w:pPr>
            <w:r>
              <w:t xml:space="preserve">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22.05.2015г.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Ул. Барвихинская</w:t>
            </w:r>
          </w:p>
          <w:p>
            <w:pPr>
              <w:jc w:val="left"/>
            </w:pPr>
            <w:r>
              <w:t xml:space="preserve">д. 16, корп. 1</w:t>
            </w:r>
          </w:p>
        </w:tc>
        <w:tc>
          <w:tcPr/>
          <w:p>
            <w:pPr>
              <w:jc w:val="left"/>
            </w:pPr>
            <w:r>
              <w:t xml:space="preserve">Радимушкин Андрей Михайлович</w:t>
            </w:r>
          </w:p>
          <w:p>
            <w:pPr>
              <w:jc w:val="left"/>
            </w:pPr>
            <w:r>
              <w:t xml:space="preserve">8-901-543-63-42</w:t>
            </w:r>
          </w:p>
        </w:tc>
      </w:tr>
      <w:tr>
        <w:tc>
          <w:tcPr/>
          <w:p>
            <w:pPr>
              <w:jc w:val="left"/>
            </w:pPr>
            <w:r>
              <w:t xml:space="preserve">11.09.2015г.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Ул. Гвардейская</w:t>
            </w:r>
          </w:p>
          <w:p>
            <w:pPr>
              <w:jc w:val="left"/>
            </w:pPr>
            <w:r>
              <w:t xml:space="preserve">д. 6, корп. 2</w:t>
            </w:r>
          </w:p>
        </w:tc>
        <w:tc>
          <w:tcPr/>
          <w:p>
            <w:pPr>
              <w:jc w:val="left"/>
            </w:pPr>
            <w:r>
              <w:t xml:space="preserve">Захаров Александр Евгеньевич</w:t>
            </w:r>
          </w:p>
          <w:p>
            <w:pPr>
              <w:jc w:val="left"/>
            </w:pPr>
            <w:r>
              <w:t xml:space="preserve">8-985-996-12-52</w:t>
            </w:r>
          </w:p>
        </w:tc>
      </w:tr>
      <w:tr>
        <w:tc>
          <w:tcPr/>
          <w:p>
            <w:pPr>
              <w:jc w:val="left"/>
            </w:pPr>
            <w:r>
              <w:t xml:space="preserve">09.10.2015г.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Можайское шоссе</w:t>
            </w:r>
          </w:p>
          <w:p>
            <w:pPr>
              <w:jc w:val="left"/>
            </w:pPr>
            <w:r>
              <w:t xml:space="preserve">д. 29</w:t>
            </w:r>
          </w:p>
        </w:tc>
        <w:tc>
          <w:tcPr/>
          <w:p>
            <w:pPr>
              <w:jc w:val="left"/>
            </w:pPr>
            <w:r>
              <w:t xml:space="preserve">Шакирова Алфия Иззятуллиновна</w:t>
            </w:r>
          </w:p>
          <w:p>
            <w:pPr>
              <w:jc w:val="left"/>
            </w:pPr>
            <w:r>
              <w:t xml:space="preserve">8-495-444-30-84</w:t>
            </w:r>
          </w:p>
        </w:tc>
      </w:tr>
      <w:tr>
        <w:tc>
          <w:tcPr/>
          <w:p>
            <w:pPr>
              <w:jc w:val="left"/>
            </w:pPr>
            <w:r>
              <w:t xml:space="preserve">23.10.2015г.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</w:t>
            </w:r>
          </w:p>
          <w:p>
            <w:pPr>
              <w:jc w:val="left"/>
            </w:pPr>
            <w:r>
              <w:t xml:space="preserve">д.32</w:t>
            </w:r>
          </w:p>
        </w:tc>
        <w:tc>
          <w:tcPr/>
          <w:p>
            <w:pPr>
              <w:jc w:val="left"/>
            </w:pPr>
            <w:r>
              <w:t xml:space="preserve">Пахомова Наталья Сергеевна</w:t>
            </w:r>
          </w:p>
          <w:p>
            <w:pPr>
              <w:jc w:val="left"/>
            </w:pPr>
            <w:r>
              <w:t xml:space="preserve">8-495-446-05-55</w:t>
            </w:r>
          </w:p>
        </w:tc>
      </w:tr>
    </w:tbl>
    <w:p>
      <w:pPr>
        <w:pStyle w:val="BodyText"/>
      </w:pPr>
      <w:r>
        <w:t xml:space="preserve">Бешенство - это одно из наиболее опасных инфекционных заболеваний вирусной природы, протекает с тяжелым поражением нервной системы и заканчивается смертельным исходом.</w:t>
      </w:r>
    </w:p>
    <w:p>
      <w:pPr>
        <w:pStyle w:val="BodyText"/>
      </w:pPr>
      <w:r>
        <w:t xml:space="preserve">Различают природный тип бешенства, очаги которого формируются дикими животными (волк, лисица, енотовидная собака, шакал, песец, скунс, мангуст, летучие мыши), и городской тип бешенства (собаки, кошки, сельскохозяйственные животные).</w:t>
      </w:r>
    </w:p>
    <w:p>
      <w:pPr>
        <w:pStyle w:val="BodyText"/>
      </w:pPr>
      <w:r>
        <w:t xml:space="preserve">В Центральном Федеральном округе РФ сохраняется напряженная эпизоотическая ситуация по бешенству, отмечается неблагоприятная тенденция роста количества неблагополучных пунктов по данной инфекции. Сохраняется высокий уровень заболеваемости животных, происходит активизация эпизоотических процессов и распространение эпизоотии на раннее свободных от бешенства территориях.</w:t>
      </w:r>
    </w:p>
    <w:p>
      <w:pPr>
        <w:pStyle w:val="BodyText"/>
      </w:pPr>
      <w:r>
        <w:t xml:space="preserve">Крайне негативное влияние на эпизоотическую ситуацию в г.Москве оказывает Московская область. Город находится в плотном кольце природных очагов бешенства (лисы, еноты и мышевидные грызуны). Существует постоянная угроза распространения эпизоотии бешенства в административных округах г. Москвы, граничащих с неблагополучными районами Московской области, а также завозы инфекции московскими собаками и кошками с неблагополучных территорий различных областей ЦФО. В течение 2012-2013 г.г. на территории города Москвы значительно осложнилась эпизоотическая ситуация по бешенству в Зеленоградском, Троицком и Новомосковском административных округах, в 2014 г. Юго-Западный, Южный и Северо-Западный административных округах.</w:t>
      </w:r>
    </w:p>
    <w:p>
      <w:pPr>
        <w:pStyle w:val="BodyText"/>
      </w:pPr>
      <w:r>
        <w:t xml:space="preserve">Переносчиками бешенства являются все без исключения теплокровные животные. Заражение происходит при покусе, через слюну больного животного, а также возможно заражение и при ослюнении поврежденной кожи (ссадины, микротрещины). Заражаются в основном не привитые животные, вывозимые на дачу, на природу, свободно гуляющие по территории дачного участка и окрестностей.</w:t>
      </w:r>
    </w:p>
    <w:p>
      <w:pPr>
        <w:pStyle w:val="BodyText"/>
      </w:pPr>
      <w:r>
        <w:t xml:space="preserve">Если вы считаете, что животные за забором защищены полностью, то это не верно. Всегда имеется возможность проникновения на участок грызунов, безнадзорных кошек, мелких лесных плотоядных.</w:t>
      </w:r>
    </w:p>
    <w:p>
      <w:pPr>
        <w:pStyle w:val="BodyText"/>
      </w:pPr>
      <w:r>
        <w:t xml:space="preserve">Помните: добрых лис, барсуков, енотов не бывает и если на Ваш дачный участок пришло животное из леса, не подходите к нему сами и не допускайте домашних питомцев.</w:t>
      </w:r>
    </w:p>
    <w:p>
      <w:pPr>
        <w:pStyle w:val="BodyText"/>
      </w:pPr>
      <w:r>
        <w:t xml:space="preserve">Агрессия, переходящая в угнетение, слюнотечение, водобоязнь, светобоязнь, «отвисание» нижней челюсти, паралич глотки, гортани и задних конечностей - классические симптомы бешенства.</w:t>
      </w:r>
    </w:p>
    <w:p>
      <w:pPr>
        <w:pStyle w:val="BodyText"/>
      </w:pPr>
      <w:r>
        <w:t xml:space="preserve">Если Вы подозреваете у животного заболевание бешенством или другой заразной болезнью, следует незамедлительно обратиться в территориальные подразделения государственной ветеринарной службы (станции, лечебницы, участки). Опытные ветеринарные врачи осмотрят животное, назначат лечение или в случае подозрения бешенства у животного направят на карантин.</w:t>
      </w:r>
    </w:p>
    <w:p>
      <w:pPr>
        <w:pStyle w:val="BodyText"/>
      </w:pPr>
      <w:r>
        <w:t xml:space="preserve">Кроме того, Вы должны знать, что при подозрении в заражении Вашего животного - карантинирование обязательно. Карантин животных в Москве осуществляется на базе ГБУ «Мосветстанция», животные лечению не подлежат.</w:t>
      </w:r>
    </w:p>
    <w:p>
      <w:pPr>
        <w:pStyle w:val="BodyText"/>
      </w:pPr>
      <w:r>
        <w:t xml:space="preserve">Единственная и гарантированная защита для Вас и Ваших домашних любимцев - ежегодная вакцинация против бешенства.</w:t>
      </w:r>
    </w:p>
    <w:p>
      <w:pPr>
        <w:pStyle w:val="BodyText"/>
      </w:pPr>
      <w:r>
        <w:t xml:space="preserve">Государственной ветеринарной службой округа организовываются выездные прививочные пункты в шаговой доступности. Вакцинация против бешенства осуществляется бесплатно. Эта прививочная кампания проводится ежегодно с января по май и в сентябре-октябре. График прививочных пунктов на 2015 год размещен в интернете на сайте Комитета ветеринарии города Москвы.</w:t>
      </w:r>
    </w:p>
    <w:p>
      <w:pPr>
        <w:pStyle w:val="BodyText"/>
      </w:pPr>
      <w:r>
        <w:t xml:space="preserve">В лечебных подразделениях СББЖ ЗАО вакцинация животных против бешенства осуществляется бесплатно круглогодично. По желанию владельцы животных могут вакцинировать своих питомцев комплексными (платными) вакцинами от нескольких вирусных инфекций: собаки - бешенство, лептоспироза, чумы, гепатита, аденовироза, энтерита, парагриппа, кошки -бешенство, кальцивироза, инфекционного ринотрахеита, панлейкопении, хламидиоза.</w:t>
      </w:r>
    </w:p>
    <w:p>
      <w:pPr>
        <w:pStyle w:val="BodyText"/>
      </w:pPr>
      <w:r>
        <w:t xml:space="preserve">Иммунитет после первичной вакцинации вырабатывается, через 21 день, а при ежегодной вакцинации он постоянен, поэтому прививать питомцев надо регулярно, согласно Приложению №1 к Постановлению Правительства Москвы от 8 февраля 1994 года №101 ВРЕМЕННЫЕ ПРАВИЛА содержания собак и кошек в г. Москве</w:t>
      </w:r>
    </w:p>
    <w:p>
      <w:pPr>
        <w:pStyle w:val="BodyText"/>
      </w:pPr>
      <w:r>
        <w:t xml:space="preserve">Пункт. 1.5. Собаки, принадлежащие гражданам, предприятиям, учреждениям и организациям, подлежат обязательной регистрации, ежегодной перерегистрации и вакцинации против бешенства начиная с 3-месячного возраста независимо от породы в государственных ветеринарных учреждениях по месту жительства граждан, нахождения предприятий, учреждений и организаций - владельцев животных. Вновь приобретенные животные должны быть зарегистрированы в 2-х недельный срок. Пункт 4.1. За несоблюдение настоящих Временных правил владельцы собак и кошек несут ответственность в установленном законом порядке.</w:t>
      </w:r>
    </w:p>
    <w:p>
      <w:pPr>
        <w:pStyle w:val="BodyText"/>
      </w:pPr>
      <w:r>
        <w:t xml:space="preserve">Выписка из санитарных правил СП 3.1.096-96 и ветеринарных правил ВП 13.3.1103-96: Профилактика и борьба с заразными болезнями, общими для человека и животных.</w:t>
      </w:r>
    </w:p>
    <w:p>
      <w:pPr>
        <w:pStyle w:val="BodyText"/>
      </w:pPr>
      <w:r>
        <w:t xml:space="preserve">Пункт 4.13. Во всех населенных пунктах РФ все собаки, независимо от их принадлежности, а так же и кошки подлежат обязательной профилактической иммунизации против бешенства с использованием принятых в практику антирабических вакцин в порядке и сроки, предусмотренные наставлениями по их применению.</w:t>
      </w:r>
    </w:p>
    <w:p>
      <w:pPr>
        <w:pStyle w:val="BodyText"/>
      </w:pPr>
      <w:r>
        <w:t xml:space="preserve">Если Вы собираетесь со своим питомцем в поездку по России, за рубеж или планируете посетить выставку собак или кошек, Вам потребуется ветеринарно-сопроводительный документ, а получить его можно только при наличии вакцинации против бешенства у животного сделанной не позднее, чем за 30дней до отъезда или выставки.</w:t>
      </w:r>
    </w:p>
    <w:p>
      <w:pPr>
        <w:pStyle w:val="BodyText"/>
      </w:pPr>
      <w:r>
        <w:t xml:space="preserve">Приводя в дом собаку, кошку или другого зверя не забывайте что, за содержание, кормление, профилактику, диагностику и лечение болезней животных, отвечают владельцы и несут гражданскую, административную и уголовную ответственность в установленном законом порядке.</w:t>
      </w:r>
    </w:p>
    <w:p>
      <w:pPr>
        <w:pStyle w:val="BodyText"/>
      </w:pPr>
      <w:r>
        <w:t xml:space="preserve">По вопросам болезней и профилактики животных, выездных пунктов вакцинации против бешенства Вы можете узнать в лечебных подразделениях Станции по борьбе с болезнями животных Западного АО:</w:t>
      </w:r>
    </w:p>
    <w:p>
      <w:pPr>
        <w:pStyle w:val="BodyText"/>
      </w:pPr>
      <w:r>
        <w:t xml:space="preserve">- Государственный центр экстренной ветеринарной помощи СББЖ ЗАО -ул.Багрицкого д. 8-6, тел. 8-495-443-69-63 режим работы круглосуточно ежедневно без перерыва на обед</w:t>
      </w:r>
    </w:p>
    <w:p>
      <w:pPr>
        <w:pStyle w:val="BodyText"/>
      </w:pPr>
      <w:r>
        <w:t xml:space="preserve">- Солнцевская УВЛ - ул.Наро-Фоминская 21 тел. 8-495-439-63-16, 8-495-439-23-50 режим работы с 09.00- 19.00, суббота с 09.00-18.00 обед с 13.00-14.00 , воскресенье - выходной</w:t>
      </w:r>
    </w:p>
    <w:p>
      <w:pPr>
        <w:pStyle w:val="BodyText"/>
      </w:pPr>
      <w:r>
        <w:t xml:space="preserve">- Рублевский ВУ - ул.Старолучанская д. 48 тел.8-499-727-26-24, режим работы с 09.00 до 18.00 ежедневно обед с 13.00-14.00.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http://mozhaisky.mos.ru/presscenter/news/detail/1633360.html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633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633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2025-07-30T06:55:18Z</dcterms:created>
  <dcterms:modified xsi:type="dcterms:W3CDTF">2025-07-30T06:55:18Z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