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766d1ad2223017920c3282f7d4dcafaed76b1"/>
    <w:p>
      <w:pPr>
        <w:pStyle w:val="Heading3"/>
      </w:pPr>
      <w:r>
        <w:t xml:space="preserve">МЧС России представлена практика федерального государственного пожарного надзора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bCs/>
          <w:b/>
        </w:rPr>
        <w:t xml:space="preserve">На днях на ВДНХ на Международной выставке-форуме «Россия» в рамках деловой программы проведена экспертная панель по вопросам организации и осуществления федерального государственного пожарного надзора».</w:t>
      </w:r>
    </w:p>
    <w:p>
      <w:pPr>
        <w:pStyle w:val="BodyText"/>
      </w:pPr>
      <w:r>
        <w:t xml:space="preserve">Участие в дискуссии принял заместитель Министра МЧС России – главный государственный инспектор Российской Федерации по пожарному надзору Анатолий Супруновский.</w:t>
      </w:r>
    </w:p>
    <w:p>
      <w:pPr>
        <w:pStyle w:val="BodyText"/>
      </w:pPr>
      <w:r>
        <w:t xml:space="preserve">Обсуждались механизмы осуществления контроля (надзора) и профилактики нарушений, а также перспективные направления развития профильного законодательства.</w:t>
      </w:r>
    </w:p>
    <w:p>
      <w:pPr>
        <w:pStyle w:val="BodyText"/>
      </w:pPr>
      <w:r>
        <w:t xml:space="preserve">МЧС России постоянно модернизирует риск-ориентированный подход при осуществлении надзорных мероприятий. Основной принцип - присвоение категории риска каждому объекту. При этом контролируемым лицам предоставлена возможность оценивать правомерность отнесения эксплуатируемых зданий к соответствующей категории риска. Для этого ведомством разработан «Калькулятор-помощник».</w:t>
      </w:r>
    </w:p>
    <w:p>
      <w:pPr>
        <w:pStyle w:val="BodyText"/>
      </w:pPr>
      <w:r>
        <w:t xml:space="preserve">Кроме того, в рамках реформы контрольной (надзорной) деятельности введено 4 новых индикатора риска, один из них - наличие информации о ненадлежащей работе при пожаре имеющихся систем противопожарной безопасности.</w:t>
      </w:r>
    </w:p>
    <w:p>
      <w:pPr>
        <w:pStyle w:val="BodyText"/>
      </w:pPr>
      <w:r>
        <w:t xml:space="preserve">В приоритете МЧС - проведение профилактических мероприятий, в том числе дистанционных. За истекший год надзорными органами МЧС России проведено более 360 профилактических визитов.</w:t>
      </w:r>
    </w:p>
    <w:p>
      <w:pPr>
        <w:pStyle w:val="BodyText"/>
      </w:pPr>
      <w:r>
        <w:t xml:space="preserve">Все это делает надзорные органы МЧС России открытой для общества структурой, в основу деятельности которой положены принципы соразмерности вмешательства в интересы контролируемых лиц.</w:t>
      </w:r>
    </w:p>
    <w:p>
      <w:pPr>
        <w:pStyle w:val="BodyText"/>
      </w:pPr>
      <w:r>
        <w:t xml:space="preserve">Кроме того, важным направлением деятельности МЧС России является обеспечение безопасности людей на водных объектах. МЧС России проводит работу по совершенствованию нормативного правового регулирования в этой сфере. Так проект федерального закона «О безопасности людей на водных объектах» предполагает возложения на ГИМС МЧС России функций по надзору, государственной регистрации и освидетельствования всех маломерных судов, проведения аттестации на право управления ими. Разработчиками предложено расширить полномочия МЧС России в части установления требований в области обеспечения безопасности.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http://mozhaisky.mos.ru/presscenter/news-on-main/detail/12198335.html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983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983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2024-03-23T19:36:34Z</dcterms:created>
  <dcterms:modified xsi:type="dcterms:W3CDTF">2024-03-23T19:36:34Z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