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f28baeb7fd4f6c6f59343a8b9733e6b20e1a6"/>
    <w:p>
      <w:pPr>
        <w:pStyle w:val="Heading3"/>
      </w:pPr>
      <w:r>
        <w:t xml:space="preserve">МЧС России продолжит цифровую трансформацию в этом году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rPr>
          <w:bCs/>
          <w:b/>
        </w:rPr>
        <w:t xml:space="preserve">Цифровизация деятельности Министерства, в частности, направлена на предоставление государственных услуг в электронном виде через Единый портал государственных и муниципальных услуг (функций) (далее – ЕПГУ) и перевод в цифровой вид контрольно-надзорной деятельности, что позволяет существенно упростить и ускорить процедуру получения гражданами государственных услуг, оказываемых МЧС России, а инспекторам – выполнение служебных обязанностей.</w:t>
      </w:r>
    </w:p>
    <w:p>
      <w:pPr>
        <w:pStyle w:val="BodyText"/>
      </w:pPr>
      <w:r>
        <w:t xml:space="preserve">За прошлый год в МЧС России поступило более 246 тысяч заявлений на предоставление государственных услуг. Из этого количества 65% заявлений были поданы заявителями в электронном виде через ЕПГУ, что на 24% больше по сравнению с 2022 годом. Кроме того, для удобства граждан ведомство сократило сроки оказания услуг и количество бумажных документов. Получить государственные услуги теперь проще и быстрее.</w:t>
      </w:r>
    </w:p>
    <w:p>
      <w:pPr>
        <w:pStyle w:val="BodyText"/>
      </w:pPr>
      <w:r>
        <w:t xml:space="preserve">На ЕПГУ выведены три новые государственные услуги МЧС России. Так, стало возможным подать документы на аттестацию экспертов, привлекаемых ведомством к экспертизам в целях государственного контроля (надзора). Дистанционно можно получить справку, подтверждающую факт возникновения пожара в отношении определенного вида объекта пожара. Также посредством ЕПГУ можно получить заключение по результатам проведения комплексных учений.</w:t>
      </w:r>
    </w:p>
    <w:p>
      <w:pPr>
        <w:pStyle w:val="BodyText"/>
      </w:pPr>
      <w:r>
        <w:t xml:space="preserve">Кроме того, стало доступно досудебное обжалование в электронном виде итогов получения результатов оказания государственных услуг и предоставления разрешений.</w:t>
      </w:r>
    </w:p>
    <w:p>
      <w:pPr>
        <w:pStyle w:val="BodyText"/>
      </w:pPr>
      <w:r>
        <w:t xml:space="preserve">Уже реализован механизм обработки обращений граждан напрямую отделами надзорной деятельности и профилактической работы в электронном виде. При этом на обращение, полученное посредством Интернет-портала МЧС России, ответ направляется в личный кабинет или по адресу электронной почты заявителя. Это упрощает взаимодействие между ведомством и гражданами, делает коммуникацию открытой, доступной и удобной.</w:t>
      </w:r>
    </w:p>
    <w:p>
      <w:pPr>
        <w:pStyle w:val="BodyText"/>
      </w:pPr>
      <w:r>
        <w:t xml:space="preserve">МЧС России проводит поэтапное оснащение территориальных органов и учреждений современными образцами средств информационно-коммуникационных технологий отечественного производства. В 2023 году в Главные управления МЧС России по Донецкой и Луганской Народным Республикам, Запорожской и Херсонской областям поставлено свыше 8,5 тысяч единиц.</w:t>
      </w:r>
    </w:p>
    <w:p>
      <w:pPr>
        <w:pStyle w:val="BodyText"/>
      </w:pPr>
      <w:r>
        <w:t xml:space="preserve">В МЧС России постоянно ведется работа по разработке методик прогнозирования различного рода чрезвычайных ситуаций природного и техногенного характера, что подразумевает обязательное использование технологий искусственного интеллекта, применяемые в информационной системе «Атлас опасностей и рисков».</w:t>
      </w:r>
    </w:p>
    <w:p>
      <w:pPr>
        <w:pStyle w:val="BodyText"/>
      </w:pPr>
      <w:r>
        <w:t xml:space="preserve">На постоянной основе Министерство ведет нормотворческую работу по развитию системы оповещения населения, системы 112, мобильного приложения «МЧС России».</w:t>
      </w:r>
    </w:p>
    <w:p>
      <w:pPr>
        <w:pStyle w:val="BodyText"/>
      </w:pPr>
      <w:r>
        <w:t xml:space="preserve">В текущем году ведомство продолжит цифровое развитие. Особый фокус внимания будет направлен на проработку мероприятий федеральных проектов, которые войдут в состав нового национального проекта «Экономика данных», формируемого по поручению Президента Российской Федерации.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http://mozhaisky.mos.ru/presscenter/news-on-main/detail/12122407.html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2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2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2024-03-19T06:13:49Z</dcterms:created>
  <dcterms:modified xsi:type="dcterms:W3CDTF">2024-03-19T06:13:49Z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