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44b9870544cb62764411172dbd53dc564339af"/>
    <w:p>
      <w:pPr>
        <w:pStyle w:val="Heading3"/>
      </w:pPr>
      <w:r>
        <w:t xml:space="preserve">В Москве прошло заседание Федерального оперативного штаба</w:t>
      </w:r>
    </w:p>
    <w:p>
      <w:pPr>
        <w:pStyle w:val="FirstParagraph"/>
      </w:pPr>
      <w:r>
        <w:t xml:space="preserve">28.11.2019</w:t>
      </w:r>
    </w:p>
    <w:p>
      <w:pPr>
        <w:pStyle w:val="BodyText"/>
      </w:pPr>
      <w:r>
        <w:t xml:space="preserve">12 ноября 2019 года под председательством руководителя Федерального оперативного штаба, Директора ФСБ России А.В. Бортникова проведено заседание Федерального оперативного штаба, на котором рассмотрены актуальные вопросы противодействия терроризму.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http://mozhaisky.mos.ru/counter-terrorism/news/detail/8522484.html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counter-terrorism/news/detail/85224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counter-terrorism/news/detail/85224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2024-08-26T18:27:11Z</dcterms:created>
  <dcterms:modified xsi:type="dcterms:W3CDTF">2024-08-26T18:27:11Z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