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be50ff5ad03df3762191853238509d7e9e5dfb"/>
    <w:p>
      <w:pPr>
        <w:pStyle w:val="Heading3"/>
      </w:pPr>
      <w:r>
        <w:t xml:space="preserve">Приказ от 30 января 2019. О порядке уведомления о фактах обращения в целях склонения государственного гражданского служащего управы Можайского района города Москвы к совершению коррупционных правонарушений</w:t>
      </w:r>
    </w:p>
    <w:p>
      <w:pPr>
        <w:pStyle w:val="FirstParagraph"/>
      </w:pPr>
      <w:r>
        <w:t xml:space="preserve">31.01.2019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http://mozhaisky.mos.ru/anti-corruption/methodical-materials/detail/7857775.html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Можайского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zhaisky.mos.ru" TargetMode="External" /><Relationship Type="http://schemas.openxmlformats.org/officeDocument/2006/relationships/hyperlink" Id="rId20" Target="http://mozhaisky.mos.ru/anti-corruption/methodical-materials/detail/78577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zhaisky.mos.ru" TargetMode="External" /><Relationship Type="http://schemas.openxmlformats.org/officeDocument/2006/relationships/hyperlink" Id="rId20" Target="http://mozhaisky.mos.ru/anti-corruption/methodical-materials/detail/78577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2025-04-15T05:50:20Z</dcterms:created>
  <dcterms:modified xsi:type="dcterms:W3CDTF">2025-04-15T05:50:20Z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