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15224ae2ad4ccf4b50691f01e9240182f99d8"/>
    <w:p>
      <w:pPr>
        <w:pStyle w:val="Heading3"/>
      </w:pPr>
      <w:r>
        <w:t xml:space="preserve">ОБЗОР РЕКОМЕНДАЦИЙ ПО ОСУЩЕСТВЛЕНИЮ КОМПЛЕКСА ОРГАНИЗАЦИОННЫХ,РАЗЪЯСНИТЕЛЬНЫХ И ИНЫХ МЕР ПО НЕДОПУЩЕНИЮ ДОЛЖНОСТНЫМИ ЛИЦАМИ КОРРУПЦИОННОГО ПОВЕДЕНИЯ</w:t>
      </w:r>
    </w:p>
    <w:p>
      <w:pPr>
        <w:pStyle w:val="FirstParagraph"/>
      </w:pPr>
      <w:r>
        <w:t xml:space="preserve">19.10.2014</w:t>
      </w:r>
    </w:p>
    <w:p>
      <w:pPr>
        <w:pStyle w:val="BodyText"/>
      </w:pPr>
      <w:r>
        <w:t xml:space="preserve">ОБЗОР РЕКОМЕНДАЦИЙ ПО ОСУЩЕСТВЛЕНИЮ КОМПЛЕКСА ОРГАНИЗАЦИОННЫХ,РАЗЪЯСНИТЕЛЬНЫХ И ИНЫХ МЕР ПО НЕДОПУЩЕНИЮ ДОЛЖНОСТНЫМИ ЛИЦАМИ КОРРУПЦИОННОГО ПОВЕДЕНИЯ</w:t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http://mozhaisky.mos.ru/anti-corruption/methodical-materials/detail/1356637.html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anti-corruption/methodical-materials/detail/13566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anti-corruption/methodical-materials/detail/13566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2024-05-25T02:05:57Z</dcterms:created>
  <dcterms:modified xsi:type="dcterms:W3CDTF">2024-05-25T02:05:57Z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