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ba5f5f9fd9a8fc61aa620bb4f6caa47e6c4bb"/>
    <w:p>
      <w:pPr>
        <w:pStyle w:val="Heading3"/>
      </w:pPr>
      <w:r>
        <w:t xml:space="preserve">Методические рекомендациипо представлению государственным гражданским служащим города Москвы (лицом, замещающим государственную должность города Москвы) сведений о доходах, об имуществе и обязательствах имущественного характера</w:t>
      </w:r>
    </w:p>
    <w:p>
      <w:pPr>
        <w:pStyle w:val="FirstParagraph"/>
      </w:pPr>
      <w:r>
        <w:t xml:space="preserve">19.10.2014</w:t>
      </w:r>
    </w:p>
    <w:p>
      <w:pPr>
        <w:pStyle w:val="BodyText"/>
      </w:pPr>
      <w:r>
        <w:t xml:space="preserve">Методические рекомендациипо представлению государственным гражданским служащим города Москвы (лицом, замещающим государственную должность города Москвы) сведений о доходах, об имуществе и обязательствах имущественного характера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http://mozhaisky.mos.ru/anti-corruption/methodical-materials/detail/1356636.html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anti-corruption/methodical-materials/detail/13566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anti-corruption/methodical-materials/detail/13566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2024-09-04T05:15:38Z</dcterms:created>
  <dcterms:modified xsi:type="dcterms:W3CDTF">2024-09-04T05:15:38Z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