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935099fe587cbc967041b75b457690fb0f482"/>
    <w:p>
      <w:pPr>
        <w:pStyle w:val="Heading3"/>
      </w:pPr>
      <w:r>
        <w:t xml:space="preserve">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23.11.2022</w:t>
      </w:r>
    </w:p>
    <w:p>
      <w:pPr>
        <w:pStyle w:val="BodyText"/>
      </w:pPr>
      <w:hyperlink r:id="rId20">
        <w:r>
          <w:rPr>
            <w:rStyle w:val="Hyperlink"/>
          </w:rPr>
          <w:t xml:space="preserve">Специальное программное обеспечение «Справки БК» и информационные материалы по заполнению справок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http://mozhaisky.mos.ru/anti-corruption/forms-of-documents-related-to-anti-corruption-for-filling/detail/11245698.html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anti-corruption/forms-of-documents-related-to-anti-corruption-for-filling/detail/11245698.html" TargetMode="External" /><Relationship Type="http://schemas.openxmlformats.org/officeDocument/2006/relationships/hyperlink" Id="rId20" Target="http://www.kremlin.ru/structure/additional/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anti-corruption/forms-of-documents-related-to-anti-corruption-for-filling/detail/11245698.html" TargetMode="External" /><Relationship Type="http://schemas.openxmlformats.org/officeDocument/2006/relationships/hyperlink" Id="rId20" Target="http://www.kremlin.ru/structure/additional/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2024-09-03T09:58:51Z</dcterms:created>
  <dcterms:modified xsi:type="dcterms:W3CDTF">2024-09-03T09:58:51Z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